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Deutsch</w:t>
      </w:r>
    </w:p>
    <w:p w:rsidR="003A780E" w:rsidRDefault="003A780E" w:rsidP="003A780E">
      <w:pPr>
        <w:spacing w:after="0" w:line="240" w:lineRule="auto"/>
        <w:jc w:val="both"/>
        <w:rPr>
          <w:sz w:val="24"/>
          <w:szCs w:val="24"/>
        </w:rPr>
      </w:pP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Erste Lesung Habakuk 1,2-3; 2,2-4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Wie lange, Herr, soll ich noch rufen, und du hörst nicht? Ich schreie zu dir: Hilfe, Gewalt! Aber du hilfst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nicht. Warum lässt du mich die Macht des Bösen erleben und siehst der Unterdrückung zu? Wohin ich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blicke, sehe ich Gewalt und Misshandlung, erhebt sich Zwietracht und Streit.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Der Herr gab mir Antwort und sagte: Schreib nieder, was du siehst, schreib es deutlich auf die Tafeln,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A780E">
        <w:rPr>
          <w:sz w:val="24"/>
          <w:szCs w:val="24"/>
        </w:rPr>
        <w:t>damit</w:t>
      </w:r>
      <w:proofErr w:type="gramEnd"/>
      <w:r w:rsidRPr="003A780E">
        <w:rPr>
          <w:sz w:val="24"/>
          <w:szCs w:val="24"/>
        </w:rPr>
        <w:t xml:space="preserve"> man es mühelos lesen kann. Denn erst zu der bestimmten Zeit trifft ein, was du siehst; aber es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drängt zum Ende und ist keine Täuschung; wenn es sich verzögert, so warte darauf; denn es kommt, es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kommt und bleibt nicht aus. Sieh her: Wer nicht rechtschaffen ist, schwindet dahin, der Gerechte aber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bleibt wegen seiner Treue am Leben.</w:t>
      </w:r>
    </w:p>
    <w:p w:rsidR="003A780E" w:rsidRDefault="003A780E" w:rsidP="003A780E">
      <w:pPr>
        <w:spacing w:after="0" w:line="240" w:lineRule="auto"/>
        <w:jc w:val="both"/>
        <w:rPr>
          <w:sz w:val="24"/>
          <w:szCs w:val="24"/>
        </w:rPr>
      </w:pP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Zweite Lesung 2 Timotheus 1,6-8.13-14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Mein Sohn! Ich rufe dir ins Gedächtnis: Entfache die Gnade Gottes wieder, die dir durch die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Auflegung meiner Hände zuteil geworden ist. Denn Gott hat uns nicht einen Geist der Verzagtheit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gegeben, sondern den Geist der Kraft, der Liebe und der Besonnenheit. Schäme dich also nicht, dich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A780E">
        <w:rPr>
          <w:sz w:val="24"/>
          <w:szCs w:val="24"/>
        </w:rPr>
        <w:t>zu</w:t>
      </w:r>
      <w:proofErr w:type="gramEnd"/>
      <w:r w:rsidRPr="003A780E">
        <w:rPr>
          <w:sz w:val="24"/>
          <w:szCs w:val="24"/>
        </w:rPr>
        <w:t xml:space="preserve"> unserem Herrn zu bekennen; schäme dich auch meiner nicht, der ich seinetwegen im Gefängnis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A780E">
        <w:rPr>
          <w:sz w:val="24"/>
          <w:szCs w:val="24"/>
        </w:rPr>
        <w:t>bin</w:t>
      </w:r>
      <w:proofErr w:type="gramEnd"/>
      <w:r w:rsidRPr="003A780E">
        <w:rPr>
          <w:sz w:val="24"/>
          <w:szCs w:val="24"/>
        </w:rPr>
        <w:t>, sondern leide mit mir für das Evangelium. Gott gibt dazu die Kraft.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Halte dich an die gesunde Lehre, die du von mir gehört hast; nimm sie dir zum Vorbild, und bleibe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A780E">
        <w:rPr>
          <w:sz w:val="24"/>
          <w:szCs w:val="24"/>
        </w:rPr>
        <w:t>beim</w:t>
      </w:r>
      <w:proofErr w:type="gramEnd"/>
      <w:r w:rsidRPr="003A780E">
        <w:rPr>
          <w:sz w:val="24"/>
          <w:szCs w:val="24"/>
        </w:rPr>
        <w:t xml:space="preserve"> Glauben und bei der Liebe, die uns in Christus Jesus geschenkt ist. Bewahre das dir anvertraute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A780E">
        <w:rPr>
          <w:sz w:val="24"/>
          <w:szCs w:val="24"/>
        </w:rPr>
        <w:t>kostbare</w:t>
      </w:r>
      <w:proofErr w:type="gramEnd"/>
      <w:r w:rsidRPr="003A780E">
        <w:rPr>
          <w:sz w:val="24"/>
          <w:szCs w:val="24"/>
        </w:rPr>
        <w:t xml:space="preserve"> Gut durch die Kraft des Heiligen Geistes, der in uns wohnt.</w:t>
      </w:r>
    </w:p>
    <w:p w:rsidR="003A780E" w:rsidRDefault="003A780E" w:rsidP="003A780E">
      <w:pPr>
        <w:spacing w:after="0" w:line="240" w:lineRule="auto"/>
        <w:jc w:val="both"/>
        <w:rPr>
          <w:sz w:val="24"/>
          <w:szCs w:val="24"/>
        </w:rPr>
      </w:pP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Evangelium Lukas 17,5-10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In jener Zeit baten die Apostel den Herrn: Stärke unseren Glauben!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Der Herr erwiderte: Wenn euer Glaube auch nur so groß wäre wie ein Senfkorn, würdet ihr zu dem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Maulbeerbaum hier sagen: Heb dich samt deinen Wurzeln aus dem Boden, und verpflanz dich ins</w:t>
      </w:r>
      <w:r>
        <w:rPr>
          <w:sz w:val="24"/>
          <w:szCs w:val="24"/>
        </w:rPr>
        <w:t xml:space="preserve"> </w:t>
      </w:r>
      <w:proofErr w:type="gramStart"/>
      <w:r w:rsidRPr="003A780E">
        <w:rPr>
          <w:sz w:val="24"/>
          <w:szCs w:val="24"/>
        </w:rPr>
        <w:t>Meer!,</w:t>
      </w:r>
      <w:proofErr w:type="gramEnd"/>
      <w:r w:rsidRPr="003A780E">
        <w:rPr>
          <w:sz w:val="24"/>
          <w:szCs w:val="24"/>
        </w:rPr>
        <w:t xml:space="preserve"> und er würde euch gehorchen.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Wenn einer von euch einen Sklaven hat, der pflügt oder das Vieh hütet, wird er etwa zu ihm, wenn er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vom Feld kommt, sagen: Nimm gleich Platz zum Essen? Wird er nicht vielmehr zu ihm sagen: Mach mir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etwas zu essen, gürte dich, und bediene mich; wenn ich gegessen und getrunken habe, kannst auch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du essen und trinken. Bedankt er sich etwa bei dem Sklaven, weil er getan hat, was ihm befohlen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wurde? So soll es auch bei euch sein: Wenn ihr alles getan habt, was euch befohlen wurde, sollt ihr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sagen: Wir sind unnütze Sklaven; wir haben nur unsere Schuldigkeit getan.</w:t>
      </w:r>
    </w:p>
    <w:p w:rsidR="003A780E" w:rsidRDefault="003A780E" w:rsidP="003A780E">
      <w:pPr>
        <w:spacing w:after="0" w:line="240" w:lineRule="auto"/>
        <w:jc w:val="both"/>
        <w:rPr>
          <w:sz w:val="24"/>
          <w:szCs w:val="24"/>
        </w:rPr>
      </w:pP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Zum Nachdenken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"Jetzt, da der dritte Weltkrieg von einem Tag auf den anderen ausbrechen kann, da unsere Erde so ein elender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Haufen ist, komme ich aufs neue in Versuchung, die Hoffnung aufzugeben bei dem Gedanken, dass das Elend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kein Ende nimmt, dass man kein großes Ziel vor Augen hat, sondern nur für kleine, partielle Zielsetzungen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kämpft. Nur in ganz kleinen Punkten finden eingreifende Veränderungen statt, doch der Mensch hat kein Ziel,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es ist nichts, was den Menschen interessiert, es ist nur noch Chaos festzustellen."</w:t>
      </w:r>
      <w:r>
        <w:rPr>
          <w:sz w:val="24"/>
          <w:szCs w:val="24"/>
        </w:rPr>
        <w:t xml:space="preserve"> 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So beschreibt der fünfundsiebzigjährige Philosoph Jean Paul Sartre die Weltsituation. Was kann man ihm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entgegenhalten? Die kleinen Lichtblicke können nicht verhehlen, dass Welt und Menschheit einer düsteren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Zukunft entgegensehen, einer Zukunft, die wenig rosig und liebenswürdig erscheint. Auf vielen Gebieten hat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der Mensch die Grenze zum Wahnsinn längst überschritten. In dieses Chaos ist jeder von uns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mithineinverstrickt.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Sartre spricht hier eine grundlegende Problematik glaubender Menschen an: sie machen die Erfahrung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 xml:space="preserve">himmelschreienden Unrechts, aber der Himmel scheint zu schweigen, die </w:t>
      </w:r>
      <w:r w:rsidRPr="003A780E">
        <w:rPr>
          <w:sz w:val="24"/>
          <w:szCs w:val="24"/>
        </w:rPr>
        <w:lastRenderedPageBreak/>
        <w:t>EllbogentaktikerInnen setzen sich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durch, ihnen ergeht es offensichtlich meist besser als jenen, die sich darum mühen, sich im Glauben zu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bewähren. Diese Erfahrung führt unweigerlich zur Vertrauensfrage, was Anwesenheit und Haltung eines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lebendigen, liebenden Gottes betrifft.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In einer ähnlich unheilvollen Situation ringt schon der Prophet Habakuk in der ersten Lesung mit Gottes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unverständlicher Begleitung einer leidgeplagten Welt. Wie kann Gott untätig zuschauen, wie Menschen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geschunden werden, Gewalt, Unterdrückung und Streit herrschen? Hinter diesem Ringen steht die zweifelnde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Frage, ob Gott wirklich auf der Seite der ungerecht Behandelten, der Gequälten, der Unterdrückten steht! Diese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Lesung ist eine durchaus kritische Anfrage auch an das eigene Gottesbild: wie viel scheinbare "Negativität",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wie viel scheinbares Schweigen Gottes können wir aushalten? Darf Gott dunkle, unverständliche Züge haben?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Kann auch Leiderfahrung in den Glauben integriert werden oder führt sie notwendigerweise zum Atheismus?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Fragen zu Lebensdunkelheiten, Ungerechtigkeiten und Leid können nicht theoretisch-philosophisch behandelt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und abgehandelt werden. Menschen, die sich ihnen in all ihrer Härte, ihrer Schonungslosigkeit, ihrem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Unverständnis gestellt haben, wissen: nicht im Ignorieren, nicht im Philosophieren, nicht im frömmelnden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Wegleugnen dessen, was scheinbar nicht sein darf, nicht im vorschnellen Antworten-Geben, sondern nur aus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dem inneren, schmerzlichen und geduldigen Durchleben solcher Erfahrungen kann eine Antwort darauf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gefunden werden. Doch das Wann, Wo und Wie einer Antwort bleibt offen.</w:t>
      </w:r>
      <w:r>
        <w:rPr>
          <w:sz w:val="24"/>
          <w:szCs w:val="24"/>
        </w:rPr>
        <w:t xml:space="preserve"> 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So können wir gegen die Worte Sartres "nur" die Worte aus einem alten jüdischen Morgengebet stellen: "Ich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glaube mit einem unbedingten Glauben an die Zukunft des Messias, und mag er auch zögern, ich erwarte doch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jeden Tag seine Ankunft." Dabei bezeichnet das hebräische Wort für "Glauben" eine Dynamik und Kraft, die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alles Leben durchdringt, die sich immer wieder neu, selbst inmitten von Qualen, Verfolgungen und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Katastrophen erweist.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Dass uns diese Art von Glauben allerdings nicht in den Schoß fällt, kommt in der Bitte der Jünger: "Stärke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unseren Glauben!" zum Ausdruck. Die Antwort Jesu auf die Bitte um Glaubensstärkung ist scheinbar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ablehnend, in Wirklichkeit jedoch ermutigend: schon ein Glaube, der winzig klein ist, kann Berge versetzen!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Warten wir nicht auf Vermehrung des Glaubens von außen, sondern vertrauen wir auf die Macht des selbst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schwächsten, eigenen Glaubens! Begeben wir uns auf die Suche nach den Quellen des Glaubens in unserem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eigenen Inneren!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Was in den darauf folgenden Versen über das Verhältnis zwischen Herr und Knecht gesagt wird, bedient sich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eines Bildes aus der damals selbstverständlichen sozialen Ordnung, um uns vor der Versuchung zu warnen,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unseren Glauben und unser Gottesverhältnis zu einem Geschäft zu degradieren. Es geht nicht darum, uns vor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Gott eine Entlohnung verdienen zu müssen. Was wir zu tun haben, ist einfach unsere uns als Menschen</w:t>
      </w:r>
      <w:r>
        <w:rPr>
          <w:sz w:val="24"/>
          <w:szCs w:val="24"/>
        </w:rPr>
        <w:t xml:space="preserve"> </w:t>
      </w:r>
      <w:r w:rsidRPr="003A780E">
        <w:rPr>
          <w:sz w:val="24"/>
          <w:szCs w:val="24"/>
        </w:rPr>
        <w:t>mitgegebene Aufgabe, im Vertrauen darauf, dass Gott auch uns die Treue hält und uns nicht fallen lässt.</w:t>
      </w:r>
    </w:p>
    <w:p w:rsidR="003A780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So mögen wir einander gegen alle menschliche Vernunft, gegen alles rationale Denken, in diesem Glauben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3A780E">
        <w:rPr>
          <w:sz w:val="24"/>
          <w:szCs w:val="24"/>
        </w:rPr>
        <w:t>bestärken und voll Hoffnung unseren Beitrag auf dem Weg in das Land der Verheißung leisten.</w:t>
      </w:r>
    </w:p>
    <w:p w:rsidR="004A295E" w:rsidRPr="003A780E" w:rsidRDefault="003A780E" w:rsidP="003A780E">
      <w:pPr>
        <w:spacing w:after="0" w:line="240" w:lineRule="auto"/>
        <w:jc w:val="both"/>
        <w:rPr>
          <w:sz w:val="24"/>
          <w:szCs w:val="24"/>
        </w:rPr>
      </w:pPr>
      <w:r w:rsidRPr="003A780E">
        <w:rPr>
          <w:sz w:val="24"/>
          <w:szCs w:val="24"/>
        </w:rPr>
        <w:t>"Glaube ist der Vogel, welcher singt, wenn die Nacht noch dunkel ist." (Rabindranath Tagore)</w:t>
      </w:r>
    </w:p>
    <w:sectPr w:rsidR="004A295E" w:rsidRPr="003A7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0E"/>
    <w:rsid w:val="003A780E"/>
    <w:rsid w:val="004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B8E6F-134F-438B-9AC5-75A57E9F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Zanoni</dc:creator>
  <cp:keywords/>
  <dc:description/>
  <cp:lastModifiedBy>Chiara Zanoni</cp:lastModifiedBy>
  <cp:revision>1</cp:revision>
  <dcterms:created xsi:type="dcterms:W3CDTF">2018-12-19T08:25:00Z</dcterms:created>
  <dcterms:modified xsi:type="dcterms:W3CDTF">2018-12-19T08:28:00Z</dcterms:modified>
</cp:coreProperties>
</file>